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6B" w:rsidRP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  <w:t>Приложение</w:t>
      </w:r>
      <w:r w:rsidR="004F745B">
        <w:rPr>
          <w:rFonts w:ascii="Times New Roman" w:hAnsi="Times New Roman" w:cs="Times New Roman"/>
        </w:rPr>
        <w:t xml:space="preserve"> №1 </w:t>
      </w:r>
      <w:r w:rsidRPr="003A7BD4">
        <w:rPr>
          <w:rFonts w:ascii="Times New Roman" w:hAnsi="Times New Roman" w:cs="Times New Roman"/>
        </w:rPr>
        <w:t xml:space="preserve">к письму </w:t>
      </w:r>
    </w:p>
    <w:p w:rsid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</w:r>
      <w:r w:rsidRPr="003A7BD4">
        <w:rPr>
          <w:rFonts w:ascii="Times New Roman" w:hAnsi="Times New Roman" w:cs="Times New Roman"/>
        </w:rPr>
        <w:tab/>
        <w:t>комитета экономики</w:t>
      </w:r>
    </w:p>
    <w:p w:rsidR="003A7BD4" w:rsidRDefault="003A7BD4" w:rsidP="003A7BD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 w:rsidR="0081409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от </w:t>
      </w:r>
      <w:r w:rsidR="00260887">
        <w:rPr>
          <w:rFonts w:ascii="Times New Roman" w:hAnsi="Times New Roman" w:cs="Times New Roman"/>
        </w:rPr>
        <w:t xml:space="preserve">28.03.2018 </w:t>
      </w:r>
      <w:r>
        <w:rPr>
          <w:rFonts w:ascii="Times New Roman" w:hAnsi="Times New Roman" w:cs="Times New Roman"/>
        </w:rPr>
        <w:t xml:space="preserve"> № </w:t>
      </w:r>
      <w:r w:rsidR="00260887">
        <w:rPr>
          <w:rFonts w:ascii="Times New Roman" w:hAnsi="Times New Roman" w:cs="Times New Roman"/>
        </w:rPr>
        <w:t>1793</w:t>
      </w:r>
    </w:p>
    <w:p w:rsidR="00260887" w:rsidRDefault="00260887" w:rsidP="003A7BD4">
      <w:pPr>
        <w:spacing w:after="0" w:line="240" w:lineRule="auto"/>
        <w:rPr>
          <w:rFonts w:ascii="Times New Roman" w:hAnsi="Times New Roman" w:cs="Times New Roman"/>
        </w:rPr>
      </w:pPr>
    </w:p>
    <w:p w:rsidR="004F745B" w:rsidRPr="00523CD9" w:rsidRDefault="003A7BD4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CD9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4F745B" w:rsidRPr="00523CD9">
        <w:rPr>
          <w:rFonts w:ascii="Times New Roman" w:hAnsi="Times New Roman" w:cs="Times New Roman"/>
          <w:sz w:val="24"/>
          <w:szCs w:val="24"/>
        </w:rPr>
        <w:t>по показателям эффективности управления</w:t>
      </w:r>
    </w:p>
    <w:p w:rsidR="004F745B" w:rsidRPr="00523CD9" w:rsidRDefault="004F745B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CD9">
        <w:rPr>
          <w:rFonts w:ascii="Times New Roman" w:hAnsi="Times New Roman" w:cs="Times New Roman"/>
          <w:sz w:val="24"/>
          <w:szCs w:val="24"/>
        </w:rPr>
        <w:t>муниципальными предприятиями, осуществляющими</w:t>
      </w:r>
    </w:p>
    <w:p w:rsidR="003A7BD4" w:rsidRPr="00523CD9" w:rsidRDefault="004F745B" w:rsidP="004F7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CD9">
        <w:rPr>
          <w:rFonts w:ascii="Times New Roman" w:hAnsi="Times New Roman" w:cs="Times New Roman"/>
          <w:sz w:val="24"/>
          <w:szCs w:val="24"/>
        </w:rPr>
        <w:t xml:space="preserve">деятельность в сфере </w:t>
      </w:r>
      <w:r w:rsidR="00466658" w:rsidRPr="00523CD9">
        <w:rPr>
          <w:rFonts w:ascii="Times New Roman" w:hAnsi="Times New Roman" w:cs="Times New Roman"/>
          <w:sz w:val="24"/>
          <w:szCs w:val="24"/>
        </w:rPr>
        <w:t>тепло-, водоснабжения и водоотведения за 201</w:t>
      </w:r>
      <w:r w:rsidR="00260887">
        <w:rPr>
          <w:rFonts w:ascii="Times New Roman" w:hAnsi="Times New Roman" w:cs="Times New Roman"/>
          <w:sz w:val="24"/>
          <w:szCs w:val="24"/>
        </w:rPr>
        <w:t xml:space="preserve">7 </w:t>
      </w:r>
      <w:r w:rsidR="00466658" w:rsidRPr="00523CD9">
        <w:rPr>
          <w:rFonts w:ascii="Times New Roman" w:hAnsi="Times New Roman" w:cs="Times New Roman"/>
          <w:sz w:val="24"/>
          <w:szCs w:val="24"/>
        </w:rPr>
        <w:t>г.</w:t>
      </w:r>
      <w:r w:rsidR="00BF1770" w:rsidRPr="00523CD9">
        <w:rPr>
          <w:rFonts w:ascii="Times New Roman" w:hAnsi="Times New Roman" w:cs="Times New Roman"/>
          <w:sz w:val="24"/>
          <w:szCs w:val="24"/>
        </w:rPr>
        <w:t>, определяемые в соответствии с приказом министерства экономического развития Российской Федерации и Министерства строительства и жилищно-коммунального хозяйства российской Федерации от 07.07.2014г. № 373/</w:t>
      </w:r>
      <w:proofErr w:type="spellStart"/>
      <w:proofErr w:type="gramStart"/>
      <w:r w:rsidR="00BF1770" w:rsidRPr="00523CD9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BF1770" w:rsidRPr="00523CD9">
        <w:rPr>
          <w:rFonts w:ascii="Times New Roman" w:hAnsi="Times New Roman" w:cs="Times New Roman"/>
          <w:sz w:val="24"/>
          <w:szCs w:val="24"/>
        </w:rPr>
        <w:t xml:space="preserve">/428 «Об </w:t>
      </w:r>
      <w:r w:rsidR="00523CD9" w:rsidRPr="00523CD9">
        <w:rPr>
          <w:rFonts w:ascii="Times New Roman" w:hAnsi="Times New Roman" w:cs="Times New Roman"/>
          <w:sz w:val="24"/>
          <w:szCs w:val="24"/>
        </w:rPr>
        <w:t>утверждении методических рекомендаций по установлению рекомендуемых показателей эффективности управления государственными и муниципальными предприятиями, осуществляющими деятельность в сфере жилищно-коммунального хозяйства, и рекомендуемых критериев оценки эффективности управления государственными и муниципальными предприятиями, осуществляющими деятельность в сфере жилищно-коммунального хозяйства"</w:t>
      </w:r>
    </w:p>
    <w:p w:rsidR="004F745B" w:rsidRDefault="004F745B" w:rsidP="003A7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843"/>
        <w:gridCol w:w="1134"/>
        <w:gridCol w:w="1276"/>
        <w:gridCol w:w="1418"/>
        <w:gridCol w:w="1559"/>
        <w:gridCol w:w="1417"/>
        <w:gridCol w:w="1701"/>
        <w:gridCol w:w="1559"/>
        <w:gridCol w:w="1701"/>
        <w:gridCol w:w="1559"/>
      </w:tblGrid>
      <w:tr w:rsidR="00466658" w:rsidRPr="00466658" w:rsidTr="00466658">
        <w:tc>
          <w:tcPr>
            <w:tcW w:w="568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843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Наименова</w:t>
            </w:r>
            <w:proofErr w:type="spellEnd"/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ниемуниципаль</w:t>
            </w:r>
            <w:proofErr w:type="spellEnd"/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 предприятий</w:t>
            </w:r>
          </w:p>
        </w:tc>
        <w:tc>
          <w:tcPr>
            <w:tcW w:w="1134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Сфера деятельности (тепло-, водоснабжение и водоотведение)</w:t>
            </w:r>
          </w:p>
        </w:tc>
        <w:tc>
          <w:tcPr>
            <w:tcW w:w="1276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</w:t>
            </w:r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плановых показателей надежности, качества и энергетической эффективности 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Пкач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418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характери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зующий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нецелевого использования бюджетных средств</w:t>
            </w:r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Пнецелев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559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соблюдение установленных в соответствии с законодательством РФ сроков рассмотрения жалоб от заявителей на ненадлежащее качество услуг, оказываемых предприятиями 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Побр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417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оборачиваемость кредиторской задолженности предприятия 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По.к.з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отсутствие аварийных ситуаций, ликвидированных с нарушением нормативных сроков, установленных законодательством РФ и нормативно-технической документацией</w:t>
            </w:r>
          </w:p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Пл.ав.с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559" w:type="dxa"/>
          </w:tcPr>
          <w:p w:rsidR="00466658" w:rsidRPr="00466658" w:rsidRDefault="00466658" w:rsidP="00CA30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соблюдение </w:t>
            </w:r>
            <w:r w:rsidR="00CA30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редприятием требований к раскрытию информации в соответствии со стандартами раскрытия информации, утвержденными Правительством РФ 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Пстанд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701" w:type="dxa"/>
          </w:tcPr>
          <w:p w:rsidR="00466658" w:rsidRPr="00466658" w:rsidRDefault="00466658" w:rsidP="00CA30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наличие финансовой поддержки </w:t>
            </w:r>
            <w:r w:rsidR="00CA30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редприятия за счет средств субъекта РФ (ОМС) на покрытие операционных расходов Предприятия (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Пф.подд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 xml:space="preserve">.), за </w:t>
            </w:r>
            <w:proofErr w:type="spellStart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искл</w:t>
            </w:r>
            <w:proofErr w:type="spellEnd"/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. установленных законодательством РФ случаев возмещения недополученных доходов, при осуществлении регулируемых видов деятельности Предприятия</w:t>
            </w:r>
          </w:p>
        </w:tc>
        <w:tc>
          <w:tcPr>
            <w:tcW w:w="1559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баллов (сумма граф 4+5+6+7+8+9+10)</w:t>
            </w:r>
          </w:p>
        </w:tc>
      </w:tr>
      <w:tr w:rsidR="00466658" w:rsidRPr="00466658" w:rsidTr="00466658">
        <w:tc>
          <w:tcPr>
            <w:tcW w:w="568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466658" w:rsidRPr="00466658" w:rsidRDefault="00466658" w:rsidP="004666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66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FA47B5" w:rsidRPr="00466658" w:rsidTr="00466658">
        <w:tc>
          <w:tcPr>
            <w:tcW w:w="568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Крепинское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КХ»</w:t>
            </w:r>
          </w:p>
        </w:tc>
        <w:tc>
          <w:tcPr>
            <w:tcW w:w="1134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водоснабжение</w:t>
            </w:r>
          </w:p>
        </w:tc>
        <w:tc>
          <w:tcPr>
            <w:tcW w:w="1276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</w:t>
            </w:r>
          </w:p>
        </w:tc>
        <w:tc>
          <w:tcPr>
            <w:tcW w:w="1418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1</w:t>
            </w:r>
          </w:p>
        </w:tc>
        <w:tc>
          <w:tcPr>
            <w:tcW w:w="1559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1</w:t>
            </w:r>
          </w:p>
        </w:tc>
        <w:tc>
          <w:tcPr>
            <w:tcW w:w="1417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1</w:t>
            </w:r>
          </w:p>
        </w:tc>
        <w:tc>
          <w:tcPr>
            <w:tcW w:w="1701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1</w:t>
            </w:r>
          </w:p>
        </w:tc>
        <w:tc>
          <w:tcPr>
            <w:tcW w:w="1559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1</w:t>
            </w:r>
          </w:p>
        </w:tc>
        <w:tc>
          <w:tcPr>
            <w:tcW w:w="1701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1</w:t>
            </w:r>
          </w:p>
        </w:tc>
        <w:tc>
          <w:tcPr>
            <w:tcW w:w="1559" w:type="dxa"/>
          </w:tcPr>
          <w:p w:rsidR="00FA47B5" w:rsidRPr="00466658" w:rsidRDefault="00CE760D" w:rsidP="00FA4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7</w:t>
            </w:r>
          </w:p>
        </w:tc>
      </w:tr>
    </w:tbl>
    <w:p w:rsidR="004F745B" w:rsidRDefault="004F745B" w:rsidP="003A7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887" w:rsidRDefault="00260887" w:rsidP="003A7B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60887" w:rsidRDefault="00260887" w:rsidP="003A7B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0887" w:rsidRDefault="00260887" w:rsidP="003A7B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3CD9" w:rsidRPr="00523CD9" w:rsidRDefault="00523CD9" w:rsidP="003A7B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23CD9">
        <w:rPr>
          <w:rFonts w:ascii="Times New Roman" w:hAnsi="Times New Roman" w:cs="Times New Roman"/>
          <w:sz w:val="20"/>
          <w:szCs w:val="20"/>
        </w:rPr>
        <w:t>Исп. (тел)</w:t>
      </w:r>
      <w:r w:rsidR="00CE760D">
        <w:rPr>
          <w:rFonts w:ascii="Times New Roman" w:hAnsi="Times New Roman" w:cs="Times New Roman"/>
          <w:sz w:val="20"/>
          <w:szCs w:val="20"/>
        </w:rPr>
        <w:t xml:space="preserve"> Фадеева Н.В. 48-2-51</w:t>
      </w:r>
    </w:p>
    <w:sectPr w:rsidR="00523CD9" w:rsidRPr="00523CD9" w:rsidSect="00523CD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BD4"/>
    <w:rsid w:val="000F128F"/>
    <w:rsid w:val="00153AB8"/>
    <w:rsid w:val="00212746"/>
    <w:rsid w:val="00260887"/>
    <w:rsid w:val="00290029"/>
    <w:rsid w:val="002F546B"/>
    <w:rsid w:val="003A7BD4"/>
    <w:rsid w:val="00466658"/>
    <w:rsid w:val="004F745B"/>
    <w:rsid w:val="00523CD9"/>
    <w:rsid w:val="005715AF"/>
    <w:rsid w:val="005A4EC2"/>
    <w:rsid w:val="00742393"/>
    <w:rsid w:val="007F6B13"/>
    <w:rsid w:val="0081409B"/>
    <w:rsid w:val="00852E28"/>
    <w:rsid w:val="008B3606"/>
    <w:rsid w:val="009121F0"/>
    <w:rsid w:val="009A2CA5"/>
    <w:rsid w:val="00A21147"/>
    <w:rsid w:val="00BF1770"/>
    <w:rsid w:val="00C156BF"/>
    <w:rsid w:val="00CA3078"/>
    <w:rsid w:val="00CC30C2"/>
    <w:rsid w:val="00CE760D"/>
    <w:rsid w:val="00D71FEC"/>
    <w:rsid w:val="00FA47B5"/>
    <w:rsid w:val="00FB291B"/>
    <w:rsid w:val="00FD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2018-04-09T11:44:00Z</cp:lastPrinted>
  <dcterms:created xsi:type="dcterms:W3CDTF">2018-03-29T06:08:00Z</dcterms:created>
  <dcterms:modified xsi:type="dcterms:W3CDTF">2018-04-09T11:44:00Z</dcterms:modified>
</cp:coreProperties>
</file>